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5" w:right="207" w:hanging="10"/>
        <w:jc w:val="center"/>
        <w:rPr>
          <w:b w:val="1"/>
          <w:sz w:val="32"/>
          <w:szCs w:val="32"/>
        </w:rPr>
      </w:pPr>
      <w:r w:rsidDel="00000000" w:rsidR="00000000" w:rsidRPr="00000000">
        <w:rPr>
          <w:b w:val="1"/>
          <w:sz w:val="32"/>
          <w:szCs w:val="32"/>
          <w:rtl w:val="0"/>
        </w:rPr>
        <w:t xml:space="preserve">Respecialization Program</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5" w:right="207" w:hanging="10"/>
        <w:jc w:val="center"/>
        <w:rPr>
          <w:b w:val="1"/>
          <w:sz w:val="32"/>
          <w:szCs w:val="32"/>
        </w:rPr>
      </w:pPr>
      <w:r w:rsidDel="00000000" w:rsidR="00000000" w:rsidRPr="00000000">
        <w:rPr>
          <w:b w:val="1"/>
          <w:sz w:val="32"/>
          <w:szCs w:val="32"/>
          <w:rtl w:val="0"/>
        </w:rPr>
        <w:t xml:space="preserve">Tuition and Fees Sheet</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5" w:right="207" w:hanging="10"/>
        <w:jc w:val="center"/>
        <w:rPr>
          <w:b w:val="1"/>
          <w:sz w:val="32"/>
          <w:szCs w:val="32"/>
        </w:rPr>
      </w:pPr>
      <w:r w:rsidDel="00000000" w:rsidR="00000000" w:rsidRPr="00000000">
        <w:rPr>
          <w:b w:val="1"/>
          <w:sz w:val="32"/>
          <w:szCs w:val="32"/>
          <w:rtl w:val="0"/>
        </w:rPr>
        <w:t xml:space="preserve">FALL 2025 &amp; SPRING 2025</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5" w:right="207" w:hanging="10"/>
        <w:jc w:val="center"/>
        <w:rPr>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sz w:val="24"/>
          <w:szCs w:val="24"/>
        </w:rPr>
      </w:pPr>
      <w:r w:rsidDel="00000000" w:rsidR="00000000" w:rsidRPr="00000000">
        <w:rPr>
          <w:sz w:val="24"/>
          <w:szCs w:val="24"/>
          <w:rtl w:val="0"/>
        </w:rPr>
        <w:t xml:space="preserve">IPTAR operates on a quarterly academic schedule, with two eight-week courses offered each quarter for each program. Some classes may be 16 weeks with a “Part I” and “Part II” spanning two quarters. Total cost reflected below is for Full Time students: those taking 8 classes per year. Full time status is required of candidates in the Respecialization Program. It is also required for the first two years of the Adult Program. All tuition must be fully paid in order to enroll in the following year. Tuition is paid on a quarterly basis and full tuition must be paid by the end of the year. Candidates with a tuition balance may not enroll in the oncoming year until the balance is paid. All fees must be paid in the quarter they are incurred.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b w:val="1"/>
          <w:sz w:val="24"/>
          <w:szCs w:val="24"/>
        </w:rPr>
      </w:pPr>
      <w:r w:rsidDel="00000000" w:rsidR="00000000" w:rsidRPr="00000000">
        <w:rPr>
          <w:b w:val="1"/>
          <w:sz w:val="24"/>
          <w:szCs w:val="24"/>
          <w:rtl w:val="0"/>
        </w:rPr>
        <w:t xml:space="preserve">Tuition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b w:val="1"/>
          <w:sz w:val="24"/>
          <w:szCs w:val="24"/>
        </w:rPr>
      </w:pPr>
      <w:r w:rsidDel="00000000" w:rsidR="00000000" w:rsidRPr="00000000">
        <w:rPr>
          <w:b w:val="1"/>
          <w:sz w:val="24"/>
          <w:szCs w:val="24"/>
          <w:rtl w:val="0"/>
        </w:rPr>
        <w:t xml:space="preserve">First Year: $8,000 total cost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5" w:right="207" w:hanging="10"/>
        <w:jc w:val="left"/>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sz w:val="24"/>
          <w:szCs w:val="24"/>
        </w:rPr>
      </w:pPr>
      <w:r w:rsidDel="00000000" w:rsidR="00000000" w:rsidRPr="00000000">
        <w:rPr>
          <w:sz w:val="24"/>
          <w:szCs w:val="24"/>
          <w:rtl w:val="0"/>
        </w:rPr>
        <w:t xml:space="preserve">Includes: First Year Respecialization classes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sz w:val="24"/>
          <w:szCs w:val="24"/>
        </w:rPr>
      </w:pPr>
      <w:r w:rsidDel="00000000" w:rsidR="00000000" w:rsidRPr="00000000">
        <w:rPr>
          <w:sz w:val="24"/>
          <w:szCs w:val="24"/>
          <w:rtl w:val="0"/>
        </w:rPr>
        <w:t xml:space="preserve">2 First Year CAP Classes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sz w:val="24"/>
          <w:szCs w:val="24"/>
        </w:rPr>
      </w:pPr>
      <w:r w:rsidDel="00000000" w:rsidR="00000000" w:rsidRPr="00000000">
        <w:rPr>
          <w:sz w:val="24"/>
          <w:szCs w:val="24"/>
          <w:rtl w:val="0"/>
        </w:rPr>
        <w:t xml:space="preserve">Intake Workshops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sz w:val="24"/>
          <w:szCs w:val="24"/>
        </w:rPr>
      </w:pPr>
      <w:r w:rsidDel="00000000" w:rsidR="00000000" w:rsidRPr="00000000">
        <w:rPr>
          <w:sz w:val="24"/>
          <w:szCs w:val="24"/>
          <w:rtl w:val="0"/>
        </w:rPr>
        <w:t xml:space="preserve">School Placement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sz w:val="24"/>
          <w:szCs w:val="24"/>
        </w:rPr>
      </w:pPr>
      <w:r w:rsidDel="00000000" w:rsidR="00000000" w:rsidRPr="00000000">
        <w:rPr>
          <w:sz w:val="24"/>
          <w:szCs w:val="24"/>
          <w:rtl w:val="0"/>
        </w:rPr>
        <w:t xml:space="preserve">ICC Supervision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sz w:val="24"/>
          <w:szCs w:val="24"/>
        </w:rPr>
      </w:pPr>
      <w:r w:rsidDel="00000000" w:rsidR="00000000" w:rsidRPr="00000000">
        <w:rPr>
          <w:sz w:val="24"/>
          <w:szCs w:val="24"/>
          <w:rtl w:val="0"/>
        </w:rPr>
        <w:t xml:space="preserve">Close Process Group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5" w:right="207" w:hanging="10"/>
        <w:jc w:val="left"/>
        <w:rPr>
          <w:b w:val="1"/>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b w:val="1"/>
          <w:sz w:val="24"/>
          <w:szCs w:val="24"/>
        </w:rPr>
      </w:pPr>
      <w:r w:rsidDel="00000000" w:rsidR="00000000" w:rsidRPr="00000000">
        <w:rPr>
          <w:b w:val="1"/>
          <w:sz w:val="24"/>
          <w:szCs w:val="24"/>
          <w:rtl w:val="0"/>
        </w:rPr>
        <w:t xml:space="preserve">Second Year: $8,000 total cost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sz w:val="24"/>
          <w:szCs w:val="24"/>
        </w:rPr>
      </w:pPr>
      <w:r w:rsidDel="00000000" w:rsidR="00000000" w:rsidRPr="00000000">
        <w:rPr>
          <w:sz w:val="24"/>
          <w:szCs w:val="24"/>
          <w:rtl w:val="0"/>
        </w:rPr>
        <w:t xml:space="preserve">Includes: Second Year Respecialization classes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sz w:val="24"/>
          <w:szCs w:val="24"/>
        </w:rPr>
      </w:pPr>
      <w:r w:rsidDel="00000000" w:rsidR="00000000" w:rsidRPr="00000000">
        <w:rPr>
          <w:sz w:val="24"/>
          <w:szCs w:val="24"/>
          <w:rtl w:val="0"/>
        </w:rPr>
        <w:t xml:space="preserve">School Placement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sz w:val="24"/>
          <w:szCs w:val="24"/>
        </w:rPr>
      </w:pPr>
      <w:r w:rsidDel="00000000" w:rsidR="00000000" w:rsidRPr="00000000">
        <w:rPr>
          <w:sz w:val="24"/>
          <w:szCs w:val="24"/>
          <w:rtl w:val="0"/>
        </w:rPr>
        <w:t xml:space="preserve">Close Process Group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07" w:firstLine="0"/>
        <w:jc w:val="left"/>
        <w:rPr>
          <w:sz w:val="24"/>
          <w:szCs w:val="24"/>
        </w:rPr>
      </w:pPr>
      <w:r w:rsidDel="00000000" w:rsidR="00000000" w:rsidRPr="00000000">
        <w:rPr>
          <w:sz w:val="24"/>
          <w:szCs w:val="24"/>
          <w:rtl w:val="0"/>
        </w:rPr>
        <w:t xml:space="preserve">In- depth ICC Supervision on up to 3 clinical cases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5" w:right="207" w:hanging="10"/>
        <w:jc w:val="left"/>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5" w:right="207" w:hanging="10"/>
        <w:jc w:val="left"/>
        <w:rPr>
          <w:sz w:val="24"/>
          <w:szCs w:val="24"/>
        </w:rPr>
      </w:pPr>
      <w:r w:rsidDel="00000000" w:rsidR="00000000" w:rsidRPr="00000000">
        <w:rPr>
          <w:rtl w:val="0"/>
        </w:rPr>
      </w:r>
    </w:p>
    <w:sectPr>
      <w:headerReference r:id="rId7" w:type="default"/>
      <w:footerReference r:id="rId8" w:type="default"/>
      <w:pgSz w:h="15840" w:w="12240" w:orient="portrait"/>
      <w:pgMar w:bottom="1100" w:top="2220" w:left="1320" w:right="1320" w:header="833" w:footer="9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609600</wp:posOffset>
              </wp:positionH>
              <wp:positionV relativeFrom="paragraph">
                <wp:posOffset>9309100</wp:posOffset>
              </wp:positionV>
              <wp:extent cx="4848225" cy="284480"/>
              <wp:effectExtent b="0" l="0" r="0" t="0"/>
              <wp:wrapNone/>
              <wp:docPr id="5" name=""/>
              <a:graphic>
                <a:graphicData uri="http://schemas.microsoft.com/office/word/2010/wordprocessingShape">
                  <wps:wsp>
                    <wps:cNvSpPr/>
                    <wps:cNvPr id="2" name="Shape 2"/>
                    <wps:spPr>
                      <a:xfrm>
                        <a:off x="2931413" y="3647285"/>
                        <a:ext cx="4829175" cy="265430"/>
                      </a:xfrm>
                      <a:prstGeom prst="rect">
                        <a:avLst/>
                      </a:prstGeom>
                      <a:noFill/>
                      <a:ln>
                        <a:noFill/>
                      </a:ln>
                    </wps:spPr>
                    <wps:txbx>
                      <w:txbxContent>
                        <w:p w:rsidR="00000000" w:rsidDel="00000000" w:rsidP="00000000" w:rsidRDefault="00000000" w:rsidRPr="00000000">
                          <w:pPr>
                            <w:spacing w:after="0" w:before="20" w:line="240"/>
                            <w:ind w:left="1.0000000149011612" w:right="0" w:firstLine="2.0000000298023224"/>
                            <w:jc w:val="center"/>
                            <w:textDirection w:val="btLr"/>
                          </w:pPr>
                          <w:r w:rsidDel="00000000" w:rsidR="00000000" w:rsidRPr="00000000">
                            <w:rPr>
                              <w:rFonts w:ascii="Georgia" w:cs="Georgia" w:eastAsia="Georgia" w:hAnsi="Georgia"/>
                              <w:b w:val="0"/>
                              <w:i w:val="0"/>
                              <w:smallCaps w:val="0"/>
                              <w:strike w:val="0"/>
                              <w:color w:val="000000"/>
                              <w:sz w:val="16"/>
                              <w:vertAlign w:val="baseline"/>
                            </w:rPr>
                            <w:t xml:space="preserve">A Component Society of the International Psychoanalytical Association</w:t>
                          </w:r>
                        </w:p>
                        <w:p w:rsidR="00000000" w:rsidDel="00000000" w:rsidP="00000000" w:rsidRDefault="00000000" w:rsidRPr="00000000">
                          <w:pPr>
                            <w:spacing w:after="0" w:before="12.999999523162842" w:line="240"/>
                            <w:ind w:left="1.0000000149011612" w:right="1.0000000149011612" w:firstLine="2.0000000298023224"/>
                            <w:jc w:val="center"/>
                            <w:textDirection w:val="btLr"/>
                          </w:pPr>
                          <w:r w:rsidDel="00000000" w:rsidR="00000000" w:rsidRPr="00000000">
                            <w:rPr>
                              <w:rFonts w:ascii="Georgia" w:cs="Georgia" w:eastAsia="Georgia" w:hAnsi="Georgia"/>
                              <w:b w:val="0"/>
                              <w:i w:val="0"/>
                              <w:smallCaps w:val="0"/>
                              <w:strike w:val="0"/>
                              <w:color w:val="000000"/>
                              <w:sz w:val="16"/>
                              <w:vertAlign w:val="baseline"/>
                            </w:rPr>
                          </w:r>
                          <w:r w:rsidDel="00000000" w:rsidR="00000000" w:rsidRPr="00000000">
                            <w:rPr>
                              <w:rFonts w:ascii="Georgia" w:cs="Georgia" w:eastAsia="Georgia" w:hAnsi="Georgia"/>
                              <w:b w:val="0"/>
                              <w:i w:val="0"/>
                              <w:smallCaps w:val="0"/>
                              <w:strike w:val="0"/>
                              <w:color w:val="000000"/>
                              <w:sz w:val="16"/>
                              <w:vertAlign w:val="baseline"/>
                            </w:rPr>
                            <w:t xml:space="preserve">IPTAR has an Absolute Charter from the Board of Regents of the New York State Department of Education.</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609600</wp:posOffset>
              </wp:positionH>
              <wp:positionV relativeFrom="paragraph">
                <wp:posOffset>9309100</wp:posOffset>
              </wp:positionV>
              <wp:extent cx="4848225" cy="28448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848225" cy="28448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2651760</wp:posOffset>
          </wp:positionH>
          <wp:positionV relativeFrom="page">
            <wp:posOffset>528840</wp:posOffset>
          </wp:positionV>
          <wp:extent cx="2468879" cy="890003"/>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68879" cy="89000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3"/>
    </w:pPr>
    <w:rPr>
      <w:rFonts w:ascii="Arial" w:cs="Arial" w:eastAsia="Arial" w:hAnsi="Arial"/>
      <w:b w:val="1"/>
      <w:sz w:val="28"/>
      <w:szCs w:val="28"/>
      <w:u w:val="single"/>
    </w:rPr>
  </w:style>
  <w:style w:type="paragraph" w:styleId="Heading2">
    <w:name w:val="heading 2"/>
    <w:basedOn w:val="Normal"/>
    <w:next w:val="Normal"/>
    <w:pPr>
      <w:ind w:left="105"/>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63" w:lineRule="auto"/>
      <w:ind w:left="2829" w:right="2371" w:firstLine="720"/>
    </w:pPr>
    <w:rPr>
      <w:rFonts w:ascii="Arial" w:cs="Arial" w:eastAsia="Arial" w:hAnsi="Arial"/>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3"/>
    </w:pPr>
    <w:rPr>
      <w:rFonts w:ascii="Arial" w:cs="Arial" w:eastAsia="Arial" w:hAnsi="Arial"/>
      <w:b w:val="1"/>
      <w:sz w:val="28"/>
      <w:szCs w:val="28"/>
      <w:u w:val="single"/>
    </w:rPr>
  </w:style>
  <w:style w:type="paragraph" w:styleId="Heading2">
    <w:name w:val="heading 2"/>
    <w:basedOn w:val="Normal"/>
    <w:next w:val="Normal"/>
    <w:pPr>
      <w:ind w:left="105"/>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63" w:lineRule="auto"/>
      <w:ind w:left="2829" w:right="2371" w:firstLine="720"/>
    </w:pPr>
    <w:rPr>
      <w:rFonts w:ascii="Arial" w:cs="Arial" w:eastAsia="Arial" w:hAnsi="Arial"/>
      <w:b w:val="1"/>
      <w:sz w:val="36"/>
      <w:szCs w:val="36"/>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BodyText">
    <w:name w:val="Body Text"/>
    <w:basedOn w:val="Normal"/>
    <w:uiPriority w:val="1"/>
    <w:qFormat w:val="1"/>
    <w:pPr/>
    <w:rPr>
      <w:rFonts w:ascii="Arial" w:cs="Arial" w:eastAsia="Arial" w:hAnsi="Arial"/>
      <w:sz w:val="24"/>
      <w:szCs w:val="24"/>
      <w:lang w:bidi="ar-SA" w:eastAsia="en-US" w:val="en-US"/>
    </w:rPr>
  </w:style>
  <w:style w:type="paragraph" w:styleId="Heading1">
    <w:name w:val="Heading 1"/>
    <w:basedOn w:val="Normal"/>
    <w:uiPriority w:val="1"/>
    <w:qFormat w:val="1"/>
    <w:pPr>
      <w:spacing w:before="92"/>
      <w:ind w:left="3"/>
      <w:outlineLvl w:val="1"/>
    </w:pPr>
    <w:rPr>
      <w:rFonts w:ascii="Arial" w:cs="Arial" w:eastAsia="Arial" w:hAnsi="Arial"/>
      <w:b w:val="1"/>
      <w:bCs w:val="1"/>
      <w:sz w:val="28"/>
      <w:szCs w:val="28"/>
      <w:u w:color="000000" w:val="single"/>
      <w:lang w:bidi="ar-SA" w:eastAsia="en-US" w:val="en-US"/>
    </w:rPr>
  </w:style>
  <w:style w:type="paragraph" w:styleId="Heading2">
    <w:name w:val="Heading 2"/>
    <w:basedOn w:val="Normal"/>
    <w:uiPriority w:val="1"/>
    <w:qFormat w:val="1"/>
    <w:pPr>
      <w:ind w:left="105"/>
      <w:outlineLvl w:val="2"/>
    </w:pPr>
    <w:rPr>
      <w:rFonts w:ascii="Arial" w:cs="Arial" w:eastAsia="Arial" w:hAnsi="Arial"/>
      <w:b w:val="1"/>
      <w:bCs w:val="1"/>
      <w:sz w:val="24"/>
      <w:szCs w:val="24"/>
      <w:lang w:bidi="ar-SA" w:eastAsia="en-US" w:val="en-US"/>
    </w:rPr>
  </w:style>
  <w:style w:type="paragraph" w:styleId="Title">
    <w:name w:val="Title"/>
    <w:basedOn w:val="Normal"/>
    <w:uiPriority w:val="1"/>
    <w:qFormat w:val="1"/>
    <w:pPr>
      <w:spacing w:before="363"/>
      <w:ind w:left="2829" w:right="2371" w:firstLine="720"/>
    </w:pPr>
    <w:rPr>
      <w:rFonts w:ascii="Arial" w:cs="Arial" w:eastAsia="Arial" w:hAnsi="Arial"/>
      <w:b w:val="1"/>
      <w:bCs w:val="1"/>
      <w:sz w:val="36"/>
      <w:szCs w:val="36"/>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Jjrikumm+2IoC+1AiYKkyJnYfg==">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2024-03-10T15:02:07Z</dcterms:created>
  <dc:creator>Tessa Peteete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Acrobat PDFMaker 23 for Word</vt:lpwstr>
  </property>
  <property fmtid="{D5CDD505-2E9C-101B-9397-08002B2CF9AE}" pid="4" name="LastSaved">
    <vt:filetime>2024-03-10T00:00:00Z</vt:filetime>
  </property>
  <property fmtid="{D5CDD505-2E9C-101B-9397-08002B2CF9AE}" pid="5" name="Producer">
    <vt:lpwstr>Adobe PDF Library 23.1.125</vt:lpwstr>
  </property>
  <property fmtid="{D5CDD505-2E9C-101B-9397-08002B2CF9AE}" pid="6" name="SourceModified">
    <vt:lpwstr>D:20230405165230</vt:lpwstr>
  </property>
</Properties>
</file>